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A8A" w:rsidRDefault="001C0A8A">
      <w:pPr>
        <w:pStyle w:val="NormalWeb"/>
        <w:spacing w:line="360" w:lineRule="auto"/>
        <w:jc w:val="both"/>
        <w:rPr>
          <w:rFonts w:ascii="Garamond" w:hAnsi="Garamond"/>
        </w:rPr>
      </w:pPr>
    </w:p>
    <w:p w:rsidR="001C0A8A" w:rsidRDefault="00F23092">
      <w:pPr>
        <w:pStyle w:val="NormalWeb"/>
        <w:spacing w:line="360" w:lineRule="auto"/>
        <w:jc w:val="both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Frédéric Samama</w:t>
      </w:r>
    </w:p>
    <w:p w:rsidR="001C0A8A" w:rsidRDefault="00F23092">
      <w:pPr>
        <w:pStyle w:val="NormalWeb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Head of Responsible Investment, Amundi</w:t>
      </w:r>
    </w:p>
    <w:p w:rsidR="001C0A8A" w:rsidRDefault="00F23092">
      <w:pPr>
        <w:pStyle w:val="NormalWeb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fsamama@gmail.com</w:t>
      </w:r>
    </w:p>
    <w:p w:rsidR="001C0A8A" w:rsidRDefault="00F23092">
      <w:pPr>
        <w:pStyle w:val="NormalWeb"/>
        <w:spacing w:line="360" w:lineRule="auto"/>
        <w:jc w:val="both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 xml:space="preserve">Testimony before the Senate Special Committee on the Climate Crisis </w:t>
      </w:r>
    </w:p>
    <w:p w:rsidR="001C0A8A" w:rsidRDefault="00F23092">
      <w:pPr>
        <w:pStyle w:val="BodyA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March 12, 2020</w:t>
      </w:r>
    </w:p>
    <w:p w:rsidR="001C0A8A" w:rsidRDefault="001C0A8A">
      <w:pPr>
        <w:pStyle w:val="BodyA"/>
        <w:spacing w:line="360" w:lineRule="auto"/>
        <w:jc w:val="both"/>
        <w:rPr>
          <w:rFonts w:ascii="Garamond" w:eastAsia="Garamond" w:hAnsi="Garamond" w:cs="Garamond"/>
        </w:rPr>
      </w:pPr>
    </w:p>
    <w:p w:rsidR="001C0A8A" w:rsidRDefault="00F23092">
      <w:pPr>
        <w:pStyle w:val="NormalWeb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Chairman Schatz and members of the committee, it is an honor to be here today.  </w:t>
      </w:r>
    </w:p>
    <w:p w:rsidR="001C0A8A" w:rsidRDefault="00F23092">
      <w:pPr>
        <w:pStyle w:val="NormalWeb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br/>
      </w:r>
      <w:r>
        <w:rPr>
          <w:rFonts w:ascii="Garamond" w:hAnsi="Garamond"/>
        </w:rPr>
        <w:t>My name is Frédéric Samama.</w:t>
      </w:r>
    </w:p>
    <w:p w:rsidR="001C0A8A" w:rsidRDefault="00F23092">
      <w:pPr>
        <w:pStyle w:val="NormalWeb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I am the Head of Responsible Investment at Amundi, the largest European asset manager with $1.8 trillion in assets.</w:t>
      </w:r>
    </w:p>
    <w:p w:rsidR="001C0A8A" w:rsidRDefault="00F23092">
      <w:pPr>
        <w:pStyle w:val="NormalWeb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I am specialized in developing financial innovations that combine additional returns for investors and positive impacts on society</w:t>
      </w:r>
      <w:r>
        <w:rPr>
          <w:rFonts w:ascii="Garamond" w:eastAsia="Garamond" w:hAnsi="Garamond" w:cs="Garamond"/>
          <w:vertAlign w:val="superscript"/>
        </w:rPr>
        <w:footnoteReference w:id="2"/>
      </w:r>
      <w:r>
        <w:rPr>
          <w:rFonts w:ascii="Garamond" w:hAnsi="Garamond"/>
        </w:rPr>
        <w:t>.</w:t>
      </w:r>
    </w:p>
    <w:p w:rsidR="001C0A8A" w:rsidRDefault="00F23092">
      <w:pPr>
        <w:pStyle w:val="NormalWeb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Today, my testimony will focus on The Green Swan,</w:t>
      </w:r>
      <w:r>
        <w:rPr>
          <w:rFonts w:ascii="Garamond" w:eastAsia="Garamond" w:hAnsi="Garamond" w:cs="Garamond"/>
          <w:vertAlign w:val="superscript"/>
        </w:rPr>
        <w:footnoteReference w:id="3"/>
      </w:r>
      <w:r>
        <w:rPr>
          <w:rFonts w:ascii="Garamond" w:hAnsi="Garamond"/>
        </w:rPr>
        <w:t xml:space="preserve"> a book I recently published with authors from the Banque de France, the Bank for International Settlements (BIS), and Columbia University.</w:t>
      </w:r>
    </w:p>
    <w:p w:rsidR="001C0A8A" w:rsidRDefault="00F23092">
      <w:pPr>
        <w:pStyle w:val="NormalWeb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The views expressed here today are my own.</w:t>
      </w:r>
    </w:p>
    <w:p w:rsidR="001C0A8A" w:rsidRDefault="00F23092">
      <w:pPr>
        <w:pStyle w:val="BodyA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First, I will explain why Central Banks are putting climate change on their agenda. </w:t>
      </w:r>
    </w:p>
    <w:p w:rsidR="001C0A8A" w:rsidRDefault="001C0A8A">
      <w:pPr>
        <w:pStyle w:val="BodyA"/>
        <w:spacing w:line="360" w:lineRule="auto"/>
        <w:jc w:val="both"/>
        <w:rPr>
          <w:rFonts w:ascii="Garamond" w:eastAsia="Garamond" w:hAnsi="Garamond" w:cs="Garamond"/>
        </w:rPr>
      </w:pPr>
    </w:p>
    <w:p w:rsidR="001C0A8A" w:rsidRDefault="00F23092">
      <w:pPr>
        <w:pStyle w:val="BodyA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Second, I will describe the mobilization of asset owners on climate change.</w:t>
      </w:r>
    </w:p>
    <w:p w:rsidR="001C0A8A" w:rsidRDefault="001C0A8A">
      <w:pPr>
        <w:pStyle w:val="BodyA"/>
        <w:spacing w:line="360" w:lineRule="auto"/>
        <w:jc w:val="both"/>
        <w:rPr>
          <w:rFonts w:ascii="Garamond" w:eastAsia="Garamond" w:hAnsi="Garamond" w:cs="Garamond"/>
        </w:rPr>
      </w:pPr>
    </w:p>
    <w:p w:rsidR="001C0A8A" w:rsidRDefault="00F23092">
      <w:pPr>
        <w:pStyle w:val="BodyA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Third, I will revisit the traditional green vs fiduciary responsibility debate.</w:t>
      </w:r>
    </w:p>
    <w:p w:rsidR="001C0A8A" w:rsidRDefault="001C0A8A">
      <w:pPr>
        <w:pStyle w:val="BodyA"/>
        <w:spacing w:line="360" w:lineRule="auto"/>
        <w:jc w:val="both"/>
        <w:rPr>
          <w:rFonts w:ascii="Garamond" w:eastAsia="Garamond" w:hAnsi="Garamond" w:cs="Garamond"/>
        </w:rPr>
      </w:pPr>
    </w:p>
    <w:p w:rsidR="001C0A8A" w:rsidRDefault="00F23092">
      <w:pPr>
        <w:pStyle w:val="BodyA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Our book, the Green Swan, is about Central Banks and Climate Change</w:t>
      </w:r>
      <w:r w:rsidR="00767566">
        <w:rPr>
          <w:rFonts w:ascii="Garamond" w:hAnsi="Garamond"/>
        </w:rPr>
        <w:t>.</w:t>
      </w:r>
    </w:p>
    <w:p w:rsidR="001C0A8A" w:rsidRDefault="001C0A8A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</w:p>
    <w:p w:rsidR="001C0A8A" w:rsidRDefault="00F23092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lastRenderedPageBreak/>
        <w:t>In the last two years, 59 Central Banks and financial supervisors have joined the Network for Greening the Financial System</w:t>
      </w:r>
      <w:r>
        <w:rPr>
          <w:rFonts w:ascii="Garamond" w:eastAsia="Garamond" w:hAnsi="Garamond" w:cs="Garamond"/>
          <w:vertAlign w:val="superscript"/>
        </w:rPr>
        <w:footnoteReference w:id="4"/>
      </w:r>
      <w:r>
        <w:rPr>
          <w:rFonts w:ascii="Garamond" w:hAnsi="Garamond"/>
        </w:rPr>
        <w:t>.</w:t>
      </w:r>
    </w:p>
    <w:p w:rsidR="001C0A8A" w:rsidRDefault="001C0A8A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</w:p>
    <w:p w:rsidR="001C0A8A" w:rsidRDefault="00F23092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This is because Central Banks now recognize that climate change threatens financial stability.</w:t>
      </w:r>
    </w:p>
    <w:p w:rsidR="001C0A8A" w:rsidRDefault="001C0A8A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</w:p>
    <w:p w:rsidR="001C0A8A" w:rsidRDefault="00F23092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Either we do nothing, and then we put humanity at risk, </w:t>
      </w:r>
    </w:p>
    <w:p w:rsidR="001C0A8A" w:rsidRDefault="001C0A8A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</w:p>
    <w:p w:rsidR="001C0A8A" w:rsidRDefault="00767566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o</w:t>
      </w:r>
      <w:r w:rsidR="00F23092">
        <w:rPr>
          <w:rFonts w:ascii="Garamond" w:hAnsi="Garamond"/>
        </w:rPr>
        <w:t xml:space="preserve">r we adjust how we manage our systems. </w:t>
      </w:r>
    </w:p>
    <w:p w:rsidR="001C0A8A" w:rsidRDefault="001C0A8A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</w:p>
    <w:p w:rsidR="001C0A8A" w:rsidRDefault="00F23092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But the magnitude of the adjustments is so massive that it could threaten financial stability.  </w:t>
      </w:r>
    </w:p>
    <w:p w:rsidR="001C0A8A" w:rsidRDefault="001C0A8A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</w:p>
    <w:p w:rsidR="001C0A8A" w:rsidRDefault="00F23092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This is why the book’s authors developed the concept of Green Swans, inspired by the famous Black Swans of Nassim Nic</w:t>
      </w:r>
      <w:r w:rsidR="00E36B59">
        <w:rPr>
          <w:rFonts w:ascii="Garamond" w:hAnsi="Garamond"/>
        </w:rPr>
        <w:t>h</w:t>
      </w:r>
      <w:r>
        <w:rPr>
          <w:rFonts w:ascii="Garamond" w:hAnsi="Garamond"/>
        </w:rPr>
        <w:t xml:space="preserve">olas </w:t>
      </w:r>
      <w:proofErr w:type="spellStart"/>
      <w:r>
        <w:rPr>
          <w:rFonts w:ascii="Garamond" w:hAnsi="Garamond"/>
        </w:rPr>
        <w:t>Taleb</w:t>
      </w:r>
      <w:proofErr w:type="spellEnd"/>
      <w:r>
        <w:rPr>
          <w:rFonts w:ascii="Garamond" w:hAnsi="Garamond"/>
        </w:rPr>
        <w:t xml:space="preserve">.  </w:t>
      </w:r>
    </w:p>
    <w:p w:rsidR="001C0A8A" w:rsidRDefault="001C0A8A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</w:p>
    <w:p w:rsidR="00380A89" w:rsidRDefault="00F23092">
      <w:pPr>
        <w:pStyle w:val="BodyB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Green Swan is a highly certain event with multiple non-linear </w:t>
      </w:r>
      <w:r w:rsidR="00380A89">
        <w:rPr>
          <w:rFonts w:ascii="Garamond" w:hAnsi="Garamond"/>
        </w:rPr>
        <w:t xml:space="preserve">and interacting </w:t>
      </w:r>
      <w:r>
        <w:rPr>
          <w:rFonts w:ascii="Garamond" w:hAnsi="Garamond"/>
        </w:rPr>
        <w:t xml:space="preserve">causes that threatens life on Earth.  </w:t>
      </w:r>
    </w:p>
    <w:p w:rsidR="001C0A8A" w:rsidRDefault="00F23092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Climate change is an example of a Green Swan</w:t>
      </w:r>
      <w:r w:rsidR="00380A89">
        <w:rPr>
          <w:rFonts w:ascii="Garamond" w:hAnsi="Garamond"/>
        </w:rPr>
        <w:t>.</w:t>
      </w:r>
    </w:p>
    <w:p w:rsidR="001C0A8A" w:rsidRDefault="00F23092">
      <w:pPr>
        <w:pStyle w:val="Body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First, climate change is certain.</w:t>
      </w:r>
    </w:p>
    <w:p w:rsidR="001C0A8A" w:rsidRDefault="00F23092">
      <w:pPr>
        <w:pStyle w:val="Body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Second, climate change carries a variety of non-linear </w:t>
      </w:r>
      <w:r w:rsidR="00380A89">
        <w:rPr>
          <w:rFonts w:ascii="Garamond" w:hAnsi="Garamond"/>
        </w:rPr>
        <w:t xml:space="preserve">and </w:t>
      </w:r>
      <w:r>
        <w:rPr>
          <w:rFonts w:ascii="Garamond" w:hAnsi="Garamond"/>
        </w:rPr>
        <w:t>interacting risks: physical, regulatory, and societal.  It</w:t>
      </w:r>
      <w:r w:rsidR="00380A89">
        <w:rPr>
          <w:rFonts w:ascii="Garamond" w:hAnsi="Garamond"/>
        </w:rPr>
        <w:t xml:space="preserve"> i</w:t>
      </w:r>
      <w:r>
        <w:rPr>
          <w:rFonts w:ascii="Garamond" w:hAnsi="Garamond"/>
        </w:rPr>
        <w:t xml:space="preserve">s </w:t>
      </w:r>
      <w:r w:rsidR="00380A89">
        <w:rPr>
          <w:rFonts w:ascii="Garamond" w:hAnsi="Garamond"/>
        </w:rPr>
        <w:t>very challenging</w:t>
      </w:r>
      <w:r>
        <w:rPr>
          <w:rFonts w:ascii="Garamond" w:hAnsi="Garamond"/>
        </w:rPr>
        <w:t xml:space="preserve"> to make such a complex model. </w:t>
      </w:r>
    </w:p>
    <w:p w:rsidR="001C0A8A" w:rsidRDefault="00F23092">
      <w:pPr>
        <w:pStyle w:val="Body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Third, climate change could lead to extreme losses in the short term. And even to the possible extinction of part of humanity in the long term.  </w:t>
      </w:r>
    </w:p>
    <w:p w:rsidR="001C0A8A" w:rsidRDefault="001C0A8A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</w:p>
    <w:p w:rsidR="001C0A8A" w:rsidRDefault="00F23092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In summary, climate change could create some potentially extremely disruptive events that underlie systemic crises. </w:t>
      </w:r>
    </w:p>
    <w:p w:rsidR="001C0A8A" w:rsidRDefault="001C0A8A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</w:p>
    <w:p w:rsidR="001C0A8A" w:rsidRDefault="00F23092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Regarding physical risks, extreme weather events have multiplied by four over the past 40 years. </w:t>
      </w:r>
    </w:p>
    <w:p w:rsidR="001C0A8A" w:rsidRDefault="001C0A8A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</w:p>
    <w:p w:rsidR="001C0A8A" w:rsidRDefault="00F23092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And more heat waves, droughts, typhoons, disease pandemics, rising sea levels are to come.  </w:t>
      </w:r>
    </w:p>
    <w:p w:rsidR="001C0A8A" w:rsidRDefault="001C0A8A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</w:p>
    <w:p w:rsidR="001C0A8A" w:rsidRDefault="00F23092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This could destroy many physical assets like crops or coastal properties.</w:t>
      </w:r>
    </w:p>
    <w:p w:rsidR="001C0A8A" w:rsidRDefault="001C0A8A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</w:p>
    <w:p w:rsidR="001C0A8A" w:rsidRDefault="00F23092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lastRenderedPageBreak/>
        <w:t>And as insurance companies cover only 44% of the damages in the US (and 8% in Asia), households and banks are increasingly exposed.</w:t>
      </w:r>
      <w:r>
        <w:rPr>
          <w:rFonts w:ascii="Garamond" w:eastAsia="Garamond" w:hAnsi="Garamond" w:cs="Garamond"/>
          <w:vertAlign w:val="superscript"/>
        </w:rPr>
        <w:footnoteReference w:id="5"/>
      </w:r>
    </w:p>
    <w:p w:rsidR="001C0A8A" w:rsidRDefault="001C0A8A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</w:p>
    <w:p w:rsidR="001C0A8A" w:rsidRDefault="00F23092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Similarly, by 2050, the World Bank estimates</w:t>
      </w:r>
      <w:r w:rsidR="00E36B59">
        <w:rPr>
          <w:rFonts w:ascii="Garamond" w:hAnsi="Garamond"/>
        </w:rPr>
        <w:t xml:space="preserve"> that </w:t>
      </w:r>
      <w:r>
        <w:rPr>
          <w:rFonts w:ascii="Garamond" w:hAnsi="Garamond"/>
        </w:rPr>
        <w:t xml:space="preserve">143 million people </w:t>
      </w:r>
      <w:r w:rsidR="00E36B59">
        <w:rPr>
          <w:rFonts w:ascii="Garamond" w:hAnsi="Garamond"/>
        </w:rPr>
        <w:t>could</w:t>
      </w:r>
      <w:r>
        <w:rPr>
          <w:rFonts w:ascii="Garamond" w:hAnsi="Garamond"/>
        </w:rPr>
        <w:t xml:space="preserve"> </w:t>
      </w:r>
      <w:r w:rsidR="00E36B59">
        <w:rPr>
          <w:rFonts w:ascii="Garamond" w:hAnsi="Garamond"/>
        </w:rPr>
        <w:t xml:space="preserve">have to </w:t>
      </w:r>
      <w:r>
        <w:rPr>
          <w:rFonts w:ascii="Garamond" w:hAnsi="Garamond"/>
        </w:rPr>
        <w:t>migrate due to climate change.</w:t>
      </w:r>
      <w:r>
        <w:rPr>
          <w:rFonts w:ascii="Garamond" w:eastAsia="Garamond" w:hAnsi="Garamond" w:cs="Garamond"/>
          <w:vertAlign w:val="superscript"/>
        </w:rPr>
        <w:footnoteReference w:id="6"/>
      </w:r>
    </w:p>
    <w:p w:rsidR="001C0A8A" w:rsidRDefault="001C0A8A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</w:p>
    <w:p w:rsidR="001C0A8A" w:rsidRDefault="00F23092">
      <w:pPr>
        <w:pStyle w:val="BodyB"/>
        <w:spacing w:line="360" w:lineRule="auto"/>
        <w:jc w:val="both"/>
        <w:rPr>
          <w:rFonts w:ascii="Garamond" w:eastAsia="Garamond" w:hAnsi="Garamond" w:cs="Garamond"/>
          <w:color w:val="660099"/>
          <w:u w:color="660099"/>
          <w:shd w:val="clear" w:color="auto" w:fill="FFFFFF"/>
        </w:rPr>
      </w:pPr>
      <w:r>
        <w:rPr>
          <w:rFonts w:ascii="Garamond" w:hAnsi="Garamond"/>
        </w:rPr>
        <w:t xml:space="preserve">This could lead to an increase in conflicts and wars. </w:t>
      </w:r>
    </w:p>
    <w:p w:rsidR="001C0A8A" w:rsidRDefault="001C0A8A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</w:p>
    <w:p w:rsidR="001C0A8A" w:rsidRDefault="00F23092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Regarding transition risks, at the COP21, 195 countries agreed on targets to curb greenhouse gas emissions with already major impacts on many industries. </w:t>
      </w:r>
    </w:p>
    <w:p w:rsidR="001C0A8A" w:rsidRDefault="001C0A8A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</w:p>
    <w:p w:rsidR="001C0A8A" w:rsidRDefault="00F23092">
      <w:pPr>
        <w:pStyle w:val="BodyA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Volkswagen lost 40% of its value for developing software to dodge new emissions regulations.</w:t>
      </w:r>
    </w:p>
    <w:p w:rsidR="001C0A8A" w:rsidRDefault="001C0A8A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</w:p>
    <w:p w:rsidR="001C0A8A" w:rsidRDefault="00F23092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In this context, how can we preserve financial stability? </w:t>
      </w:r>
    </w:p>
    <w:p w:rsidR="001C0A8A" w:rsidRDefault="001C0A8A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</w:p>
    <w:p w:rsidR="001C0A8A" w:rsidRDefault="00F23092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Two steps are needed for this.</w:t>
      </w:r>
    </w:p>
    <w:p w:rsidR="001C0A8A" w:rsidRDefault="001C0A8A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</w:p>
    <w:p w:rsidR="001C0A8A" w:rsidRDefault="00F23092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First, traditional backward-looking risk models do not capture future risks. </w:t>
      </w:r>
    </w:p>
    <w:p w:rsidR="001C0A8A" w:rsidRDefault="001C0A8A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</w:p>
    <w:p w:rsidR="001C0A8A" w:rsidRDefault="00F23092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We need to work with new models, including scen</w:t>
      </w:r>
      <w:r w:rsidR="00767566">
        <w:rPr>
          <w:rFonts w:ascii="Garamond" w:hAnsi="Garamond"/>
        </w:rPr>
        <w:t xml:space="preserve">ario analysis or climate stress </w:t>
      </w:r>
      <w:r>
        <w:rPr>
          <w:rFonts w:ascii="Garamond" w:hAnsi="Garamond"/>
        </w:rPr>
        <w:t xml:space="preserve">tests. </w:t>
      </w:r>
    </w:p>
    <w:p w:rsidR="001C0A8A" w:rsidRDefault="001C0A8A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</w:p>
    <w:p w:rsidR="001C0A8A" w:rsidRDefault="00F23092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But the deep uncertainties are such that no single model or scenario can provide a full picture of the macroeconomic and firm-level impacts caused by climate change. </w:t>
      </w:r>
    </w:p>
    <w:p w:rsidR="001C0A8A" w:rsidRDefault="001C0A8A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</w:p>
    <w:p w:rsidR="001C0A8A" w:rsidRDefault="00F23092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Central Banks must recognize the limits of their existing analytical and policy toolbox. </w:t>
      </w:r>
    </w:p>
    <w:p w:rsidR="001C0A8A" w:rsidRDefault="001C0A8A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</w:p>
    <w:p w:rsidR="001C0A8A" w:rsidRDefault="00F23092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Second, Central Banks must play an additional role by helping coordinate the measures to fight climate change. </w:t>
      </w:r>
    </w:p>
    <w:p w:rsidR="001C0A8A" w:rsidRDefault="001C0A8A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</w:p>
    <w:p w:rsidR="001C0A8A" w:rsidRDefault="00F23092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We must obviously move forward with carbon pricing. </w:t>
      </w:r>
    </w:p>
    <w:p w:rsidR="001C0A8A" w:rsidRDefault="001C0A8A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</w:p>
    <w:p w:rsidR="001C0A8A" w:rsidRDefault="00F23092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We must explore new policy mixes (fiscal-monetary-prudential) to better address the climate imperatives ahead.</w:t>
      </w:r>
    </w:p>
    <w:p w:rsidR="001C0A8A" w:rsidRDefault="001C0A8A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</w:p>
    <w:p w:rsidR="001C0A8A" w:rsidRDefault="00F23092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We must reform international monetary and financial system</w:t>
      </w:r>
      <w:r w:rsidR="00767566">
        <w:rPr>
          <w:rFonts w:ascii="Garamond" w:hAnsi="Garamond"/>
        </w:rPr>
        <w:t>s</w:t>
      </w:r>
      <w:r>
        <w:rPr>
          <w:rFonts w:ascii="Garamond" w:hAnsi="Garamond"/>
        </w:rPr>
        <w:t xml:space="preserve"> to recognize climate stability as a global public good.</w:t>
      </w:r>
    </w:p>
    <w:p w:rsidR="001C0A8A" w:rsidRDefault="001C0A8A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</w:p>
    <w:p w:rsidR="001C0A8A" w:rsidRDefault="00F23092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We must systematically integrate sustainability criteria in the financial sector. </w:t>
      </w:r>
    </w:p>
    <w:p w:rsidR="001C0A8A" w:rsidRDefault="001C0A8A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</w:p>
    <w:p w:rsidR="001C0A8A" w:rsidRDefault="00F23092">
      <w:pPr>
        <w:pStyle w:val="BodyA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And here the good news is that investors are getting mobilized.</w:t>
      </w:r>
    </w:p>
    <w:p w:rsidR="001C0A8A" w:rsidRDefault="001C0A8A">
      <w:pPr>
        <w:pStyle w:val="BodyA"/>
        <w:spacing w:line="360" w:lineRule="auto"/>
        <w:jc w:val="both"/>
        <w:rPr>
          <w:rFonts w:ascii="Garamond" w:eastAsia="Garamond" w:hAnsi="Garamond" w:cs="Garamond"/>
        </w:rPr>
      </w:pPr>
    </w:p>
    <w:p w:rsidR="001C0A8A" w:rsidRDefault="00F23092">
      <w:pPr>
        <w:pStyle w:val="BodyA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For example, 450 investors managing $41 trillion are now challenging the 100 most polluting companies.</w:t>
      </w:r>
      <w:r>
        <w:rPr>
          <w:rFonts w:ascii="Garamond" w:eastAsia="Garamond" w:hAnsi="Garamond" w:cs="Garamond"/>
          <w:vertAlign w:val="superscript"/>
        </w:rPr>
        <w:footnoteReference w:id="7"/>
      </w:r>
      <w:r>
        <w:rPr>
          <w:rFonts w:ascii="Garamond" w:hAnsi="Garamond"/>
        </w:rPr>
        <w:t xml:space="preserve"> </w:t>
      </w:r>
    </w:p>
    <w:p w:rsidR="001C0A8A" w:rsidRDefault="001C0A8A">
      <w:pPr>
        <w:pStyle w:val="BodyA"/>
        <w:spacing w:line="360" w:lineRule="auto"/>
        <w:jc w:val="both"/>
      </w:pPr>
    </w:p>
    <w:p w:rsidR="001C0A8A" w:rsidRDefault="00F23092">
      <w:pPr>
        <w:pStyle w:val="BodyB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Not to save the planet. But to save the assets of their beneficiaries.</w:t>
      </w:r>
    </w:p>
    <w:p w:rsidR="001C0A8A" w:rsidRDefault="00F23092">
      <w:pPr>
        <w:pStyle w:val="NormalWeb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In parallel, investors now benefit from plug-and-play financial tools.</w:t>
      </w:r>
    </w:p>
    <w:p w:rsidR="001C0A8A" w:rsidRDefault="00F23092">
      <w:pPr>
        <w:pStyle w:val="NormalWeb"/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With low carbon equity indexes</w:t>
      </w:r>
      <w:r>
        <w:rPr>
          <w:rFonts w:ascii="Garamond" w:eastAsia="Garamond" w:hAnsi="Garamond" w:cs="Garamond"/>
          <w:vertAlign w:val="superscript"/>
        </w:rPr>
        <w:footnoteReference w:id="8"/>
      </w:r>
      <w:r>
        <w:rPr>
          <w:rFonts w:ascii="Garamond" w:hAnsi="Garamond"/>
        </w:rPr>
        <w:t>, investors can now reduce their exposure to the most polluting companies while maintaining broad market exposure.</w:t>
      </w:r>
    </w:p>
    <w:p w:rsidR="001C0A8A" w:rsidRDefault="00F23092">
      <w:pPr>
        <w:pStyle w:val="NormalWeb"/>
        <w:spacing w:line="360" w:lineRule="auto"/>
        <w:jc w:val="both"/>
        <w:rPr>
          <w:rStyle w:val="None"/>
          <w:rFonts w:ascii="Garamond" w:eastAsia="Garamond" w:hAnsi="Garamond" w:cs="Garamond"/>
        </w:rPr>
      </w:pPr>
      <w:r>
        <w:rPr>
          <w:rFonts w:ascii="Garamond" w:hAnsi="Garamond"/>
        </w:rPr>
        <w:t>These indexes have outperformed traditional indexes since their creation</w:t>
      </w:r>
      <w:r>
        <w:rPr>
          <w:rFonts w:ascii="Garamond" w:eastAsia="Garamond" w:hAnsi="Garamond" w:cs="Garamond"/>
          <w:vertAlign w:val="superscript"/>
        </w:rPr>
        <w:footnoteReference w:id="9"/>
      </w:r>
      <w:r>
        <w:rPr>
          <w:rStyle w:val="None"/>
          <w:rFonts w:ascii="Garamond" w:hAnsi="Garamond"/>
        </w:rPr>
        <w:t xml:space="preserve">. </w:t>
      </w:r>
    </w:p>
    <w:p w:rsidR="001C0A8A" w:rsidRDefault="00F23092">
      <w:pPr>
        <w:pStyle w:val="NormalWeb"/>
        <w:spacing w:line="360" w:lineRule="auto"/>
        <w:jc w:val="both"/>
        <w:rPr>
          <w:rStyle w:val="None"/>
          <w:rFonts w:ascii="Garamond" w:eastAsia="Garamond" w:hAnsi="Garamond" w:cs="Garamond"/>
        </w:rPr>
      </w:pPr>
      <w:r>
        <w:rPr>
          <w:rStyle w:val="None"/>
          <w:rFonts w:ascii="Garamond" w:hAnsi="Garamond"/>
        </w:rPr>
        <w:t>In other words, to be green has led to better performance.</w:t>
      </w:r>
    </w:p>
    <w:p w:rsidR="001C0A8A" w:rsidRDefault="001C0A8A">
      <w:pPr>
        <w:pStyle w:val="NormalWeb"/>
        <w:spacing w:line="360" w:lineRule="auto"/>
        <w:jc w:val="both"/>
        <w:rPr>
          <w:rStyle w:val="None"/>
          <w:rFonts w:ascii="Garamond" w:eastAsia="Garamond" w:hAnsi="Garamond" w:cs="Garamond"/>
        </w:rPr>
      </w:pPr>
    </w:p>
    <w:p w:rsidR="001C0A8A" w:rsidRDefault="00F23092">
      <w:pPr>
        <w:pStyle w:val="NormalWeb"/>
        <w:spacing w:line="360" w:lineRule="auto"/>
        <w:jc w:val="both"/>
        <w:rPr>
          <w:rStyle w:val="None"/>
          <w:rFonts w:ascii="Garamond" w:eastAsia="Garamond" w:hAnsi="Garamond" w:cs="Garamond"/>
        </w:rPr>
      </w:pPr>
      <w:r>
        <w:rPr>
          <w:rStyle w:val="None"/>
          <w:rFonts w:ascii="Garamond" w:hAnsi="Garamond"/>
        </w:rPr>
        <w:t>In conclusion, the world has changed over the past five years.</w:t>
      </w:r>
    </w:p>
    <w:p w:rsidR="001C0A8A" w:rsidRDefault="00F23092">
      <w:pPr>
        <w:pStyle w:val="NormalWeb"/>
        <w:spacing w:line="360" w:lineRule="auto"/>
        <w:jc w:val="both"/>
        <w:rPr>
          <w:rStyle w:val="None"/>
          <w:rFonts w:ascii="Garamond" w:eastAsia="Garamond" w:hAnsi="Garamond" w:cs="Garamond"/>
        </w:rPr>
      </w:pPr>
      <w:r>
        <w:rPr>
          <w:rStyle w:val="None"/>
          <w:rFonts w:ascii="Garamond" w:hAnsi="Garamond"/>
        </w:rPr>
        <w:t xml:space="preserve">In Paris, 195 countries agreed to address climate change </w:t>
      </w:r>
    </w:p>
    <w:p w:rsidR="001C0A8A" w:rsidRDefault="00F23092">
      <w:pPr>
        <w:pStyle w:val="NormalWeb"/>
        <w:spacing w:line="360" w:lineRule="auto"/>
        <w:jc w:val="both"/>
        <w:rPr>
          <w:rStyle w:val="None"/>
          <w:rFonts w:ascii="Garamond" w:eastAsia="Garamond" w:hAnsi="Garamond" w:cs="Garamond"/>
        </w:rPr>
      </w:pPr>
      <w:r>
        <w:rPr>
          <w:rStyle w:val="None"/>
          <w:rFonts w:ascii="Garamond" w:hAnsi="Garamond"/>
        </w:rPr>
        <w:t xml:space="preserve">Renewable energy is becoming competitive compared to coal. </w:t>
      </w:r>
    </w:p>
    <w:p w:rsidR="001C0A8A" w:rsidRDefault="00F23092">
      <w:pPr>
        <w:pStyle w:val="NormalWeb"/>
        <w:spacing w:line="360" w:lineRule="auto"/>
        <w:jc w:val="both"/>
        <w:rPr>
          <w:rStyle w:val="None"/>
          <w:rFonts w:ascii="Garamond" w:eastAsia="Garamond" w:hAnsi="Garamond" w:cs="Garamond"/>
        </w:rPr>
      </w:pPr>
      <w:r>
        <w:rPr>
          <w:rStyle w:val="None"/>
          <w:rFonts w:ascii="Garamond" w:hAnsi="Garamond"/>
        </w:rPr>
        <w:t>Populations and asset owners are getting mobilized.</w:t>
      </w:r>
    </w:p>
    <w:p w:rsidR="001C0A8A" w:rsidRDefault="00F23092">
      <w:pPr>
        <w:pStyle w:val="NormalWeb"/>
        <w:spacing w:line="360" w:lineRule="auto"/>
        <w:jc w:val="both"/>
        <w:rPr>
          <w:rStyle w:val="None"/>
          <w:rFonts w:ascii="Garamond" w:eastAsia="Garamond" w:hAnsi="Garamond" w:cs="Garamond"/>
        </w:rPr>
      </w:pPr>
      <w:r>
        <w:rPr>
          <w:rStyle w:val="None"/>
          <w:rFonts w:ascii="Garamond" w:hAnsi="Garamond"/>
        </w:rPr>
        <w:lastRenderedPageBreak/>
        <w:t xml:space="preserve">On their own, none of these forces will be enough to catalyze change. </w:t>
      </w:r>
    </w:p>
    <w:p w:rsidR="001C0A8A" w:rsidRDefault="00F23092">
      <w:pPr>
        <w:pStyle w:val="NormalWeb"/>
        <w:spacing w:line="360" w:lineRule="auto"/>
        <w:jc w:val="both"/>
        <w:rPr>
          <w:rStyle w:val="None"/>
          <w:rFonts w:ascii="Garamond" w:eastAsia="Garamond" w:hAnsi="Garamond" w:cs="Garamond"/>
        </w:rPr>
      </w:pPr>
      <w:r>
        <w:rPr>
          <w:rStyle w:val="None"/>
          <w:rFonts w:ascii="Garamond" w:hAnsi="Garamond"/>
        </w:rPr>
        <w:t>But when they all change at the same time and get aligned, then we have a tipping point.</w:t>
      </w:r>
    </w:p>
    <w:p w:rsidR="001C0A8A" w:rsidRDefault="00F23092">
      <w:pPr>
        <w:pStyle w:val="NormalWeb"/>
        <w:spacing w:line="360" w:lineRule="auto"/>
        <w:jc w:val="both"/>
        <w:rPr>
          <w:rStyle w:val="None"/>
          <w:rFonts w:ascii="Garamond" w:eastAsia="Garamond" w:hAnsi="Garamond" w:cs="Garamond"/>
        </w:rPr>
      </w:pPr>
      <w:r>
        <w:rPr>
          <w:rStyle w:val="None"/>
          <w:rFonts w:ascii="Garamond" w:hAnsi="Garamond"/>
        </w:rPr>
        <w:t xml:space="preserve">And this is the moment we are living. </w:t>
      </w:r>
    </w:p>
    <w:p w:rsidR="001C0A8A" w:rsidRDefault="00F23092">
      <w:pPr>
        <w:pStyle w:val="NormalWeb"/>
        <w:spacing w:line="360" w:lineRule="auto"/>
        <w:jc w:val="both"/>
        <w:rPr>
          <w:rStyle w:val="None"/>
          <w:rFonts w:ascii="Garamond" w:eastAsia="Garamond" w:hAnsi="Garamond" w:cs="Garamond"/>
        </w:rPr>
      </w:pPr>
      <w:r>
        <w:rPr>
          <w:rStyle w:val="None"/>
          <w:rFonts w:ascii="Garamond" w:hAnsi="Garamond"/>
        </w:rPr>
        <w:t>Mr. Chairman and members of the Committee, you have an incredible window of opportunity to regulate polluting companies to ensure the stability of our financial markets.</w:t>
      </w:r>
    </w:p>
    <w:p w:rsidR="001C0A8A" w:rsidRDefault="00F23092">
      <w:pPr>
        <w:pStyle w:val="NormalWeb"/>
        <w:spacing w:line="360" w:lineRule="auto"/>
        <w:jc w:val="both"/>
      </w:pPr>
      <w:r>
        <w:rPr>
          <w:rStyle w:val="None"/>
          <w:rFonts w:ascii="Garamond" w:hAnsi="Garamond"/>
        </w:rPr>
        <w:t>Thank you.</w:t>
      </w:r>
    </w:p>
    <w:sectPr w:rsidR="001C0A8A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594" w:rsidRDefault="00C05594">
      <w:r>
        <w:separator/>
      </w:r>
    </w:p>
  </w:endnote>
  <w:endnote w:type="continuationSeparator" w:id="0">
    <w:p w:rsidR="00C05594" w:rsidRDefault="00C0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A8A" w:rsidRDefault="00F23092">
    <w:pPr>
      <w:pStyle w:val="Footer"/>
      <w:tabs>
        <w:tab w:val="clear" w:pos="9026"/>
        <w:tab w:val="right" w:pos="90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67566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594" w:rsidRDefault="00C05594">
      <w:r>
        <w:separator/>
      </w:r>
    </w:p>
  </w:footnote>
  <w:footnote w:type="continuationSeparator" w:id="0">
    <w:p w:rsidR="00C05594" w:rsidRDefault="00C05594">
      <w:r>
        <w:continuationSeparator/>
      </w:r>
    </w:p>
  </w:footnote>
  <w:footnote w:type="continuationNotice" w:id="1">
    <w:p w:rsidR="00C05594" w:rsidRDefault="00C05594"/>
  </w:footnote>
  <w:footnote w:id="2">
    <w:p w:rsidR="001C0A8A" w:rsidRDefault="00F23092">
      <w:pPr>
        <w:pStyle w:val="Heading3"/>
        <w:spacing w:before="0" w:after="45"/>
      </w:pPr>
      <w:r>
        <w:rPr>
          <w:rFonts w:ascii="Garamond" w:eastAsia="Garamond" w:hAnsi="Garamond" w:cs="Garamond"/>
          <w:vertAlign w:val="superscript"/>
        </w:rPr>
        <w:footnoteRef/>
      </w:r>
      <w:r>
        <w:rPr>
          <w:rFonts w:ascii="Times New Roman" w:hAnsi="Times New Roman"/>
          <w:b w:val="0"/>
          <w:bCs w:val="0"/>
          <w:color w:val="000000"/>
          <w:sz w:val="20"/>
          <w:szCs w:val="20"/>
          <w:u w:color="000000"/>
        </w:rPr>
        <w:t xml:space="preserve"> </w:t>
      </w:r>
      <w:r>
        <w:rPr>
          <w:rFonts w:ascii="Calibri" w:hAnsi="Calibri"/>
          <w:b w:val="0"/>
          <w:bCs w:val="0"/>
          <w:color w:val="000000"/>
          <w:sz w:val="20"/>
          <w:szCs w:val="20"/>
          <w:u w:color="000000"/>
          <w:lang w:val="en-US"/>
        </w:rPr>
        <w:t>“</w:t>
      </w:r>
      <w:r w:rsidRPr="00767566">
        <w:rPr>
          <w:rFonts w:ascii="Calibri" w:hAnsi="Calibri"/>
          <w:b w:val="0"/>
          <w:bCs w:val="0"/>
          <w:color w:val="000000"/>
          <w:sz w:val="20"/>
          <w:szCs w:val="20"/>
          <w:u w:color="000000"/>
          <w:lang w:val="en-US"/>
        </w:rPr>
        <w:t>Amundi</w:t>
      </w:r>
      <w:r>
        <w:rPr>
          <w:rFonts w:ascii="Calibri" w:hAnsi="Calibri"/>
          <w:b w:val="0"/>
          <w:bCs w:val="0"/>
          <w:color w:val="000000"/>
          <w:sz w:val="20"/>
          <w:szCs w:val="20"/>
          <w:u w:color="000000"/>
          <w:lang w:val="en-US"/>
        </w:rPr>
        <w:t>’s early mover”. Environmental Finance, 2018. Available at https://www.environmental-finance.com/content/analysis/amundis-early-mover.html</w:t>
      </w:r>
    </w:p>
  </w:footnote>
  <w:footnote w:id="3">
    <w:p w:rsidR="001C0A8A" w:rsidRDefault="00F23092">
      <w:pPr>
        <w:pStyle w:val="Heading3"/>
        <w:spacing w:before="0" w:after="45"/>
        <w:jc w:val="both"/>
      </w:pPr>
      <w:r>
        <w:rPr>
          <w:rFonts w:ascii="Garamond" w:eastAsia="Garamond" w:hAnsi="Garamond" w:cs="Garamond"/>
          <w:vertAlign w:val="superscript"/>
        </w:rPr>
        <w:footnoteRef/>
      </w:r>
      <w:r>
        <w:rPr>
          <w:rFonts w:ascii="Times New Roman" w:hAnsi="Times New Roman"/>
          <w:b w:val="0"/>
          <w:bCs w:val="0"/>
          <w:color w:val="000000"/>
          <w:sz w:val="20"/>
          <w:szCs w:val="20"/>
          <w:u w:color="000000"/>
        </w:rPr>
        <w:t xml:space="preserve"> </w:t>
      </w:r>
      <w:r>
        <w:rPr>
          <w:rFonts w:ascii="Calibri" w:hAnsi="Calibri"/>
          <w:b w:val="0"/>
          <w:bCs w:val="0"/>
          <w:color w:val="000000"/>
          <w:sz w:val="20"/>
          <w:szCs w:val="20"/>
          <w:u w:color="000000"/>
          <w:lang w:val="en-US"/>
        </w:rPr>
        <w:t>Available at https://www.bis.org/publ/othp31.pdf</w:t>
      </w:r>
    </w:p>
  </w:footnote>
  <w:footnote w:id="4">
    <w:p w:rsidR="001C0A8A" w:rsidRPr="00E36B59" w:rsidRDefault="00F23092">
      <w:pPr>
        <w:pStyle w:val="BodyB"/>
        <w:spacing w:line="360" w:lineRule="auto"/>
        <w:jc w:val="both"/>
        <w:rPr>
          <w:lang w:val="en-FR"/>
        </w:rPr>
      </w:pPr>
      <w:r>
        <w:rPr>
          <w:rFonts w:ascii="Garamond" w:eastAsia="Garamond" w:hAnsi="Garamond" w:cs="Garamond"/>
          <w:vertAlign w:val="superscript"/>
        </w:rPr>
        <w:footnoteRef/>
      </w:r>
      <w:r w:rsidRPr="00E36B59">
        <w:rPr>
          <w:sz w:val="20"/>
          <w:szCs w:val="20"/>
          <w:lang w:val="en-FR"/>
        </w:rPr>
        <w:t xml:space="preserve"> </w:t>
      </w:r>
      <w:r w:rsidR="00767566">
        <w:fldChar w:fldCharType="begin"/>
      </w:r>
      <w:r w:rsidR="00767566" w:rsidRPr="00E36B59">
        <w:rPr>
          <w:lang w:val="en-FR"/>
        </w:rPr>
        <w:instrText xml:space="preserve"> HYPERLINK "https://www.ngfs.net/en/about-us/membership" </w:instrText>
      </w:r>
      <w:r w:rsidR="00767566">
        <w:fldChar w:fldCharType="separate"/>
      </w:r>
      <w:r w:rsidRPr="00E36B59">
        <w:rPr>
          <w:rStyle w:val="Hyperlink0"/>
          <w:lang w:val="en-FR"/>
        </w:rPr>
        <w:t>https://www.ngfs.net/en/about-us/membership</w:t>
      </w:r>
      <w:r w:rsidR="00767566">
        <w:rPr>
          <w:rStyle w:val="Hyperlink0"/>
        </w:rPr>
        <w:fldChar w:fldCharType="end"/>
      </w:r>
      <w:r w:rsidRPr="00E36B59">
        <w:rPr>
          <w:rFonts w:ascii="Calibri" w:hAnsi="Calibri"/>
          <w:sz w:val="20"/>
          <w:szCs w:val="20"/>
          <w:lang w:val="en-FR"/>
        </w:rPr>
        <w:t>.</w:t>
      </w:r>
    </w:p>
  </w:footnote>
  <w:footnote w:id="5">
    <w:p w:rsidR="001C0A8A" w:rsidRDefault="00F23092">
      <w:pPr>
        <w:pStyle w:val="BodyB"/>
        <w:spacing w:line="360" w:lineRule="auto"/>
        <w:jc w:val="both"/>
      </w:pPr>
      <w:r>
        <w:rPr>
          <w:rFonts w:ascii="Garamond" w:eastAsia="Garamond" w:hAnsi="Garamond" w:cs="Garamond"/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MunichRe</w:t>
      </w:r>
      <w:proofErr w:type="spellEnd"/>
      <w:r>
        <w:rPr>
          <w:rFonts w:ascii="Calibri" w:hAnsi="Calibri"/>
          <w:sz w:val="20"/>
          <w:szCs w:val="20"/>
        </w:rPr>
        <w:t>. 2018. “The Natural Disasters of 2018 in Figures.” https://www.munichre.com/topics- online/en/climate-change-and-natural-disasters/natural-disasters/the-natural-disasters-of-2018-in- figures.html.</w:t>
      </w:r>
    </w:p>
  </w:footnote>
  <w:footnote w:id="6">
    <w:p w:rsidR="001C0A8A" w:rsidRDefault="00F23092">
      <w:pPr>
        <w:pStyle w:val="Heading3"/>
        <w:spacing w:before="0" w:after="45"/>
      </w:pPr>
      <w:r>
        <w:rPr>
          <w:rFonts w:ascii="Garamond" w:eastAsia="Garamond" w:hAnsi="Garamond" w:cs="Garamond"/>
          <w:vertAlign w:val="superscript"/>
        </w:rPr>
        <w:footnoteRef/>
      </w:r>
      <w:r>
        <w:rPr>
          <w:rFonts w:ascii="Times New Roman" w:hAnsi="Times New Roman"/>
          <w:b w:val="0"/>
          <w:bCs w:val="0"/>
          <w:color w:val="000000"/>
          <w:sz w:val="20"/>
          <w:szCs w:val="20"/>
          <w:u w:color="000000"/>
        </w:rPr>
        <w:t xml:space="preserve"> </w:t>
      </w:r>
      <w:r>
        <w:rPr>
          <w:rFonts w:ascii="Calibri" w:hAnsi="Calibri"/>
          <w:b w:val="0"/>
          <w:bCs w:val="0"/>
          <w:color w:val="000000"/>
          <w:sz w:val="20"/>
          <w:szCs w:val="20"/>
          <w:u w:color="000000"/>
          <w:lang w:val="en-US"/>
        </w:rPr>
        <w:t>“Groundswell: Preparing for Internal Climate Migration” World Bank 2019</w:t>
      </w:r>
    </w:p>
  </w:footnote>
  <w:footnote w:id="7">
    <w:p w:rsidR="001C0A8A" w:rsidRDefault="00F23092">
      <w:pPr>
        <w:pStyle w:val="BodyA"/>
        <w:jc w:val="both"/>
      </w:pPr>
      <w:r>
        <w:rPr>
          <w:rFonts w:ascii="Garamond" w:eastAsia="Garamond" w:hAnsi="Garamond" w:cs="Garamond"/>
          <w:vertAlign w:val="superscript"/>
        </w:rPr>
        <w:footnoteRef/>
      </w:r>
      <w:r>
        <w:rPr>
          <w:sz w:val="22"/>
          <w:szCs w:val="22"/>
          <w:vertAlign w:val="superscript"/>
        </w:rPr>
        <w:t xml:space="preserve"> </w:t>
      </w:r>
      <w:r>
        <w:rPr>
          <w:sz w:val="20"/>
          <w:szCs w:val="20"/>
        </w:rPr>
        <w:t>http://www.climateaction100.org</w:t>
      </w:r>
    </w:p>
  </w:footnote>
  <w:footnote w:id="8">
    <w:p w:rsidR="001C0A8A" w:rsidRDefault="00F23092">
      <w:pPr>
        <w:pStyle w:val="BodyA"/>
        <w:spacing w:before="120" w:after="120"/>
        <w:jc w:val="both"/>
        <w:rPr>
          <w:sz w:val="20"/>
          <w:szCs w:val="20"/>
        </w:rPr>
      </w:pPr>
      <w:r>
        <w:rPr>
          <w:rFonts w:ascii="Garamond" w:eastAsia="Garamond" w:hAnsi="Garamond" w:cs="Garamond"/>
          <w:vertAlign w:val="superscript"/>
        </w:rPr>
        <w:footnoteRef/>
      </w:r>
      <w:r>
        <w:t xml:space="preserve"> </w:t>
      </w:r>
      <w:r>
        <w:rPr>
          <w:sz w:val="20"/>
          <w:szCs w:val="20"/>
        </w:rPr>
        <w:t>Andersson, M., Bolton, P., &amp; Samama, F., 2016 (a), “Hedging Climate Risk”, Financial Analysts Journal, 72(3), 13-32</w:t>
      </w:r>
    </w:p>
    <w:p w:rsidR="001C0A8A" w:rsidRDefault="00F23092">
      <w:pPr>
        <w:pStyle w:val="BodyA"/>
        <w:spacing w:before="120" w:after="120"/>
        <w:jc w:val="both"/>
      </w:pPr>
      <w:r>
        <w:rPr>
          <w:sz w:val="20"/>
          <w:szCs w:val="20"/>
        </w:rPr>
        <w:t>Andersson, M., Bolton, P., &amp; Samama, F., 2016 (b), “Governance and Climate Change: A Success Story in Mobilizing Investor Support for Corporate Responses to Climate Change”, Journal of Applied Corporate Finance, 28(2), 29-33</w:t>
      </w:r>
    </w:p>
  </w:footnote>
  <w:footnote w:id="9">
    <w:p w:rsidR="001C0A8A" w:rsidRDefault="00F23092">
      <w:pPr>
        <w:pStyle w:val="BodyB"/>
      </w:pPr>
      <w:r>
        <w:rPr>
          <w:rFonts w:ascii="Garamond" w:eastAsia="Garamond" w:hAnsi="Garamond" w:cs="Garamond"/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ascii="Calibri" w:hAnsi="Calibri"/>
          <w:sz w:val="20"/>
          <w:szCs w:val="20"/>
        </w:rPr>
        <w:t xml:space="preserve">Eccles, B., </w:t>
      </w:r>
      <w:hyperlink r:id="rId1" w:history="1">
        <w:proofErr w:type="spellStart"/>
        <w:r>
          <w:rPr>
            <w:rStyle w:val="Hyperlink1"/>
            <w:rFonts w:eastAsia="Arial Unicode MS" w:cs="Arial Unicode MS"/>
          </w:rPr>
          <w:t>Klimenko</w:t>
        </w:r>
        <w:proofErr w:type="spellEnd"/>
      </w:hyperlink>
      <w:r>
        <w:rPr>
          <w:rStyle w:val="Hyperlink1"/>
          <w:rFonts w:eastAsia="Arial Unicode MS" w:cs="Arial Unicode MS"/>
        </w:rPr>
        <w:t xml:space="preserve">, S., </w:t>
      </w:r>
      <w:r>
        <w:rPr>
          <w:rStyle w:val="None"/>
          <w:rFonts w:ascii="Calibri" w:hAnsi="Calibri"/>
          <w:sz w:val="20"/>
          <w:szCs w:val="20"/>
        </w:rPr>
        <w:t>“</w:t>
      </w:r>
      <w:r>
        <w:rPr>
          <w:rStyle w:val="Hyperlink1"/>
          <w:rFonts w:eastAsia="Arial Unicode MS" w:cs="Arial Unicode MS"/>
        </w:rPr>
        <w:t>The Investors Revolution</w:t>
      </w:r>
      <w:r>
        <w:rPr>
          <w:rStyle w:val="None"/>
          <w:rFonts w:ascii="Calibri" w:hAnsi="Calibri"/>
          <w:sz w:val="20"/>
          <w:szCs w:val="20"/>
        </w:rPr>
        <w:t xml:space="preserve">” </w:t>
      </w:r>
      <w:r>
        <w:rPr>
          <w:rStyle w:val="Hyperlink1"/>
          <w:rFonts w:eastAsia="Arial Unicode MS" w:cs="Arial Unicode MS"/>
        </w:rPr>
        <w:t>Harvard Business Review May-June 2019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A8A" w:rsidRDefault="001C0A8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8"/>
  <w:displayBackgroundShape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A8A"/>
    <w:rsid w:val="000F0E3D"/>
    <w:rsid w:val="001A7B74"/>
    <w:rsid w:val="001B5971"/>
    <w:rsid w:val="001C0A8A"/>
    <w:rsid w:val="00232036"/>
    <w:rsid w:val="00380A89"/>
    <w:rsid w:val="00443C74"/>
    <w:rsid w:val="00767566"/>
    <w:rsid w:val="008D2B6C"/>
    <w:rsid w:val="00C05594"/>
    <w:rsid w:val="00C3414B"/>
    <w:rsid w:val="00CB1E05"/>
    <w:rsid w:val="00E36B59"/>
    <w:rsid w:val="00F2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E55A27"/>
  <w15:docId w15:val="{458035B9-2BA7-874E-BE7E-06C0ACB0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FR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next w:val="BodyB"/>
    <w:uiPriority w:val="9"/>
    <w:unhideWhenUsed/>
    <w:qFormat/>
    <w:pPr>
      <w:keepNext/>
      <w:keepLines/>
      <w:spacing w:before="200"/>
      <w:outlineLvl w:val="2"/>
    </w:pPr>
    <w:rPr>
      <w:rFonts w:ascii="Helvetica Neue" w:eastAsia="Helvetica Neue" w:hAnsi="Helvetica Neue" w:cs="Helvetica Neue"/>
      <w:b/>
      <w:bCs/>
      <w:color w:val="4472C4"/>
      <w:sz w:val="24"/>
      <w:szCs w:val="24"/>
      <w:u w:color="4472C4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rPr>
      <w:rFonts w:ascii="Calibri" w:hAnsi="Calibri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outline w:val="0"/>
      <w:color w:val="0000FF"/>
      <w:sz w:val="20"/>
      <w:szCs w:val="20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rFonts w:ascii="Calibri" w:eastAsia="Calibri" w:hAnsi="Calibri" w:cs="Calibri"/>
      <w:outline w:val="0"/>
      <w:color w:val="000000"/>
      <w:sz w:val="20"/>
      <w:szCs w:val="2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B6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B6C"/>
    <w:rPr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hbr.org/search?term=svetlana%252520klimenko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Geoff (AMUNDI-PIONEER.USA)</dc:creator>
  <cp:lastModifiedBy>Frederic SAMAMA</cp:lastModifiedBy>
  <cp:revision>3</cp:revision>
  <dcterms:created xsi:type="dcterms:W3CDTF">2020-03-12T11:46:00Z</dcterms:created>
  <dcterms:modified xsi:type="dcterms:W3CDTF">2020-03-12T11:47:00Z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